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60" w:rsidRDefault="00993560" w:rsidP="00993560">
      <w:pPr>
        <w:rPr>
          <w:b/>
          <w:i/>
          <w:sz w:val="28"/>
        </w:rPr>
      </w:pPr>
      <w:r>
        <w:rPr>
          <w:b/>
          <w:i/>
          <w:sz w:val="28"/>
        </w:rPr>
        <w:t>2. Osnivač Grad Sisak</w:t>
      </w:r>
    </w:p>
    <w:tbl>
      <w:tblPr>
        <w:tblW w:w="10095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142"/>
        <w:gridCol w:w="1684"/>
        <w:gridCol w:w="5687"/>
      </w:tblGrid>
      <w:tr w:rsidR="00993560" w:rsidTr="00993560">
        <w:trPr>
          <w:trHeight w:val="31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93560" w:rsidRDefault="00993560">
            <w:pPr>
              <w:suppressAutoHyphens/>
              <w:snapToGrid w:val="0"/>
              <w:jc w:val="center"/>
              <w:rPr>
                <w:rFonts w:cs="Calibri"/>
                <w:color w:val="000000"/>
                <w:lang w:eastAsia="ar-SA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color w:val="000000"/>
                  </w:rPr>
                  <w:t>Br.</w:t>
                </w:r>
              </w:smartTag>
            </w:smartTag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93560" w:rsidRDefault="00993560">
            <w:pPr>
              <w:suppressAutoHyphens/>
              <w:snapToGri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b/>
              </w:rPr>
              <w:t>Matična škola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93560" w:rsidRDefault="00993560">
            <w:pPr>
              <w:suppressAutoHyphens/>
              <w:snapToGri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b/>
              </w:rPr>
              <w:t>Područna škola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93560" w:rsidRDefault="00993560">
            <w:pPr>
              <w:suppressAutoHyphens/>
              <w:snapToGri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b/>
              </w:rPr>
              <w:t>Upisno područje</w:t>
            </w:r>
          </w:p>
        </w:tc>
      </w:tr>
      <w:tr w:rsidR="00993560" w:rsidTr="0099356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0" w:rsidRDefault="00993560">
            <w:pPr>
              <w:suppressAutoHyphens/>
              <w:snapToGrid w:val="0"/>
              <w:jc w:val="center"/>
              <w:rPr>
                <w:rFonts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0" w:rsidRDefault="00993560">
            <w:pPr>
              <w:suppressAutoHyphens/>
              <w:snapToGrid w:val="0"/>
              <w:rPr>
                <w:rFonts w:cs="Calibri"/>
                <w:b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i/>
                <w:color w:val="000000"/>
              </w:rPr>
              <w:t>OSNOVNA ŠKOLA IVANA KUKULJEVIĆA, Sisak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0" w:rsidRDefault="00993560">
            <w:pPr>
              <w:suppressAutoHyphens/>
              <w:snapToGrid w:val="0"/>
              <w:rPr>
                <w:rFonts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93560" w:rsidRDefault="00993560">
            <w:pPr>
              <w:snapToGrid w:val="0"/>
              <w:rPr>
                <w:rFonts w:eastAsia="Calibri" w:cs="Calibri"/>
                <w:i/>
                <w:lang w:eastAsia="ar-SA"/>
              </w:rPr>
            </w:pPr>
            <w:r>
              <w:rPr>
                <w:i/>
              </w:rPr>
              <w:t xml:space="preserve">Ulica kralja Tomislava, Vatrogasna ulica, Ulica Ljudevita Gaja, Trg hrvatskih branitelja, Ulica </w:t>
            </w:r>
            <w:proofErr w:type="spellStart"/>
            <w:r>
              <w:rPr>
                <w:i/>
              </w:rPr>
              <w:t>Oktavijana</w:t>
            </w:r>
            <w:proofErr w:type="spellEnd"/>
            <w:r>
              <w:rPr>
                <w:i/>
              </w:rPr>
              <w:t xml:space="preserve"> Augusta, dio ulice Franje Lovrića, Ulica Ivana Kukuljevića </w:t>
            </w:r>
            <w:proofErr w:type="spellStart"/>
            <w:r>
              <w:rPr>
                <w:i/>
              </w:rPr>
              <w:t>Sakcinskog</w:t>
            </w:r>
            <w:proofErr w:type="spellEnd"/>
            <w:r>
              <w:rPr>
                <w:i/>
              </w:rPr>
              <w:t xml:space="preserve">, dio Ulice Silvija </w:t>
            </w:r>
            <w:proofErr w:type="spellStart"/>
            <w:r>
              <w:rPr>
                <w:i/>
              </w:rPr>
              <w:t>Strahimira</w:t>
            </w:r>
            <w:proofErr w:type="spellEnd"/>
            <w:r>
              <w:rPr>
                <w:i/>
              </w:rPr>
              <w:t xml:space="preserve"> Kranjčevića, Trg bana Josipa Jelačića, dio Rimske ulice, Šetalište Vladimira Nazora, Ulica Ivana Meštrovića, Trg 22. lipnja, Žitna ulica, Lađarska ulica, Keltska ulica, Obala Ruđera Boškovića, Ulica Dr. Ive </w:t>
            </w:r>
            <w:proofErr w:type="spellStart"/>
            <w:r>
              <w:rPr>
                <w:i/>
              </w:rPr>
              <w:t>Stipčića</w:t>
            </w:r>
            <w:proofErr w:type="spellEnd"/>
            <w:r>
              <w:rPr>
                <w:i/>
              </w:rPr>
              <w:t xml:space="preserve">, Ulica hrvatskih domobrana, Trg Vere </w:t>
            </w:r>
            <w:proofErr w:type="spellStart"/>
            <w:r>
              <w:rPr>
                <w:i/>
              </w:rPr>
              <w:t>Grozaj</w:t>
            </w:r>
            <w:proofErr w:type="spellEnd"/>
            <w:r>
              <w:rPr>
                <w:i/>
              </w:rPr>
              <w:t xml:space="preserve">, dio Ulice Ivana Gundulića, dio Ulice Augusta Cesarca, Ivana Mažuranića i dio ulice Josipa Jurja Strossmayera, Ulica Josipa Runjanina, Ulica Borisa </w:t>
            </w:r>
            <w:proofErr w:type="spellStart"/>
            <w:r>
              <w:rPr>
                <w:i/>
              </w:rPr>
              <w:t>Brnada</w:t>
            </w:r>
            <w:proofErr w:type="spellEnd"/>
            <w:r>
              <w:rPr>
                <w:i/>
              </w:rPr>
              <w:t xml:space="preserve">, Mihanovićeva obala, Ulica Marka Marulića, Ulica Olivera </w:t>
            </w:r>
            <w:proofErr w:type="spellStart"/>
            <w:r>
              <w:rPr>
                <w:i/>
              </w:rPr>
              <w:t>Potzla</w:t>
            </w:r>
            <w:proofErr w:type="spellEnd"/>
            <w:r>
              <w:rPr>
                <w:i/>
              </w:rPr>
              <w:t xml:space="preserve">, Ulica lipa, Ulica Ivana </w:t>
            </w:r>
            <w:proofErr w:type="spellStart"/>
            <w:r>
              <w:rPr>
                <w:i/>
              </w:rPr>
              <w:t>Fistrovića</w:t>
            </w:r>
            <w:proofErr w:type="spellEnd"/>
            <w:r>
              <w:rPr>
                <w:i/>
              </w:rPr>
              <w:t xml:space="preserve">, M. </w:t>
            </w:r>
            <w:proofErr w:type="spellStart"/>
            <w:r>
              <w:rPr>
                <w:i/>
              </w:rPr>
              <w:t>Fintića</w:t>
            </w:r>
            <w:proofErr w:type="spellEnd"/>
            <w:r>
              <w:rPr>
                <w:i/>
              </w:rPr>
              <w:t xml:space="preserve">, Ive Rukavine, Vladimira Nazora, Vladimira </w:t>
            </w:r>
            <w:proofErr w:type="spellStart"/>
            <w:r>
              <w:rPr>
                <w:i/>
              </w:rPr>
              <w:t>Logomerca</w:t>
            </w:r>
            <w:proofErr w:type="spellEnd"/>
            <w:r>
              <w:rPr>
                <w:i/>
              </w:rPr>
              <w:t xml:space="preserve">, Mije Goričkog, Obala Tome Bakača, Ulica Savskih žrtava, Ulica Ivana </w:t>
            </w:r>
            <w:proofErr w:type="spellStart"/>
            <w:r>
              <w:rPr>
                <w:i/>
              </w:rPr>
              <w:t>Cankara</w:t>
            </w:r>
            <w:proofErr w:type="spellEnd"/>
            <w:r>
              <w:rPr>
                <w:i/>
              </w:rPr>
              <w:t xml:space="preserve">, Ulica Janka </w:t>
            </w:r>
            <w:proofErr w:type="spellStart"/>
            <w:r>
              <w:rPr>
                <w:i/>
              </w:rPr>
              <w:t>Dujaka</w:t>
            </w:r>
            <w:proofErr w:type="spellEnd"/>
            <w:r>
              <w:rPr>
                <w:i/>
              </w:rPr>
              <w:t xml:space="preserve">, Ulica Ive </w:t>
            </w:r>
            <w:proofErr w:type="spellStart"/>
            <w:r>
              <w:rPr>
                <w:i/>
              </w:rPr>
              <w:t>Vončine</w:t>
            </w:r>
            <w:proofErr w:type="spellEnd"/>
            <w:r>
              <w:rPr>
                <w:i/>
              </w:rPr>
              <w:t xml:space="preserve">, Ulica </w:t>
            </w:r>
            <w:proofErr w:type="spellStart"/>
            <w:r>
              <w:rPr>
                <w:i/>
              </w:rPr>
              <w:t>Dobriše</w:t>
            </w:r>
            <w:proofErr w:type="spellEnd"/>
            <w:r>
              <w:rPr>
                <w:i/>
              </w:rPr>
              <w:t xml:space="preserve"> Cesarića, Ulica Grge Tuškana, Obrtnička ulica, Ulica Josipa </w:t>
            </w:r>
            <w:proofErr w:type="spellStart"/>
            <w:r>
              <w:rPr>
                <w:i/>
              </w:rPr>
              <w:t>Pupačića</w:t>
            </w:r>
            <w:proofErr w:type="spellEnd"/>
            <w:r>
              <w:rPr>
                <w:i/>
              </w:rPr>
              <w:t xml:space="preserve">, Ulica Vjenceslava Novaka, Ulica A. </w:t>
            </w:r>
            <w:proofErr w:type="spellStart"/>
            <w:r>
              <w:rPr>
                <w:i/>
              </w:rPr>
              <w:t>Milčinovića</w:t>
            </w:r>
            <w:proofErr w:type="spellEnd"/>
            <w:r>
              <w:rPr>
                <w:i/>
              </w:rPr>
              <w:t xml:space="preserve"> i Ulica </w:t>
            </w:r>
            <w:proofErr w:type="spellStart"/>
            <w:r>
              <w:rPr>
                <w:i/>
              </w:rPr>
              <w:t>Pavleka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Miškine</w:t>
            </w:r>
            <w:proofErr w:type="spellEnd"/>
          </w:p>
          <w:p w:rsidR="00993560" w:rsidRDefault="00993560">
            <w:pPr>
              <w:suppressAutoHyphens/>
              <w:snapToGrid w:val="0"/>
              <w:rPr>
                <w:rFonts w:cs="Calibri"/>
                <w:i/>
                <w:color w:val="000000"/>
                <w:lang w:val="de-DE" w:eastAsia="ar-SA"/>
              </w:rPr>
            </w:pPr>
            <w:r>
              <w:rPr>
                <w:i/>
                <w:color w:val="000000"/>
              </w:rPr>
              <w:t>V.-VIII.</w:t>
            </w:r>
            <w:proofErr w:type="spellStart"/>
            <w:r>
              <w:rPr>
                <w:i/>
                <w:color w:val="000000"/>
                <w:lang w:val="de-DE"/>
              </w:rPr>
              <w:t>Petrinjska</w:t>
            </w:r>
            <w:proofErr w:type="spellEnd"/>
            <w:r>
              <w:rPr>
                <w:i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i/>
                <w:color w:val="000000"/>
                <w:lang w:val="de-DE"/>
              </w:rPr>
              <w:t>ulica</w:t>
            </w:r>
            <w:proofErr w:type="spellEnd"/>
            <w:r>
              <w:rPr>
                <w:i/>
                <w:color w:val="000000"/>
                <w:lang w:val="de-DE"/>
              </w:rPr>
              <w:t xml:space="preserve">, Novo </w:t>
            </w:r>
            <w:proofErr w:type="spellStart"/>
            <w:r>
              <w:rPr>
                <w:i/>
                <w:color w:val="000000"/>
                <w:lang w:val="de-DE"/>
              </w:rPr>
              <w:t>Pračno</w:t>
            </w:r>
            <w:proofErr w:type="spellEnd"/>
            <w:r>
              <w:rPr>
                <w:i/>
                <w:color w:val="000000"/>
                <w:lang w:val="de-DE"/>
              </w:rPr>
              <w:t xml:space="preserve">, </w:t>
            </w:r>
            <w:proofErr w:type="spellStart"/>
            <w:r>
              <w:rPr>
                <w:i/>
                <w:color w:val="000000"/>
                <w:lang w:val="de-DE"/>
              </w:rPr>
              <w:t>Novoselska</w:t>
            </w:r>
            <w:proofErr w:type="spellEnd"/>
            <w:r>
              <w:rPr>
                <w:i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i/>
                <w:color w:val="000000"/>
                <w:lang w:val="de-DE"/>
              </w:rPr>
              <w:t>ulica</w:t>
            </w:r>
            <w:proofErr w:type="spellEnd"/>
            <w:r>
              <w:rPr>
                <w:i/>
                <w:color w:val="000000"/>
                <w:lang w:val="de-DE"/>
              </w:rPr>
              <w:t xml:space="preserve"> i </w:t>
            </w:r>
            <w:proofErr w:type="spellStart"/>
            <w:r>
              <w:rPr>
                <w:i/>
                <w:color w:val="000000"/>
                <w:lang w:val="de-DE"/>
              </w:rPr>
              <w:t>Ulica</w:t>
            </w:r>
            <w:proofErr w:type="spellEnd"/>
            <w:r>
              <w:rPr>
                <w:i/>
                <w:color w:val="000000"/>
                <w:lang w:val="de-DE"/>
              </w:rPr>
              <w:t xml:space="preserve"> Janka </w:t>
            </w:r>
            <w:proofErr w:type="spellStart"/>
            <w:r>
              <w:rPr>
                <w:i/>
                <w:color w:val="000000"/>
                <w:lang w:val="de-DE"/>
              </w:rPr>
              <w:t>Rupčića</w:t>
            </w:r>
            <w:proofErr w:type="spellEnd"/>
          </w:p>
        </w:tc>
      </w:tr>
      <w:tr w:rsidR="00993560" w:rsidTr="0099356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0" w:rsidRDefault="00993560">
            <w:pPr>
              <w:suppressAutoHyphens/>
              <w:snapToGrid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0" w:rsidRDefault="00993560">
            <w:pPr>
              <w:suppressAutoHyphens/>
              <w:snapToGrid w:val="0"/>
              <w:rPr>
                <w:rFonts w:cs="Calibri"/>
                <w:color w:val="000000"/>
                <w:lang w:eastAsia="ar-SA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0" w:rsidRDefault="00993560">
            <w:pPr>
              <w:suppressAutoHyphens/>
              <w:snapToGrid w:val="0"/>
              <w:rPr>
                <w:rFonts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 xml:space="preserve">Područna škola Novo </w:t>
            </w:r>
            <w:proofErr w:type="spellStart"/>
            <w:r>
              <w:rPr>
                <w:color w:val="000000"/>
              </w:rPr>
              <w:t>Pračno</w:t>
            </w:r>
            <w:proofErr w:type="spellEnd"/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93560" w:rsidRDefault="00993560">
            <w:pPr>
              <w:suppressAutoHyphens/>
              <w:snapToGrid w:val="0"/>
              <w:rPr>
                <w:rFonts w:cs="Calibri"/>
                <w:i/>
                <w:color w:val="000000"/>
                <w:lang w:val="de-DE" w:eastAsia="ar-SA"/>
              </w:rPr>
            </w:pPr>
            <w:r>
              <w:rPr>
                <w:i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i/>
                <w:color w:val="000000"/>
                <w:lang w:val="de-DE"/>
              </w:rPr>
              <w:t>Petrinjska</w:t>
            </w:r>
            <w:proofErr w:type="spellEnd"/>
            <w:r>
              <w:rPr>
                <w:i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i/>
                <w:color w:val="000000"/>
                <w:lang w:val="de-DE"/>
              </w:rPr>
              <w:t>ulica</w:t>
            </w:r>
            <w:proofErr w:type="spellEnd"/>
            <w:r>
              <w:rPr>
                <w:i/>
                <w:color w:val="000000"/>
                <w:lang w:val="de-DE"/>
              </w:rPr>
              <w:t xml:space="preserve">, Novo </w:t>
            </w:r>
            <w:proofErr w:type="spellStart"/>
            <w:r>
              <w:rPr>
                <w:i/>
                <w:color w:val="000000"/>
                <w:lang w:val="de-DE"/>
              </w:rPr>
              <w:t>Pračno</w:t>
            </w:r>
            <w:proofErr w:type="spellEnd"/>
            <w:r>
              <w:rPr>
                <w:i/>
                <w:color w:val="000000"/>
                <w:lang w:val="de-DE"/>
              </w:rPr>
              <w:t xml:space="preserve">, </w:t>
            </w:r>
            <w:proofErr w:type="spellStart"/>
            <w:r>
              <w:rPr>
                <w:i/>
                <w:color w:val="000000"/>
                <w:lang w:val="de-DE"/>
              </w:rPr>
              <w:t>Novoselska</w:t>
            </w:r>
            <w:proofErr w:type="spellEnd"/>
            <w:r>
              <w:rPr>
                <w:i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i/>
                <w:color w:val="000000"/>
                <w:lang w:val="de-DE"/>
              </w:rPr>
              <w:t>ulica</w:t>
            </w:r>
            <w:proofErr w:type="spellEnd"/>
            <w:r>
              <w:rPr>
                <w:i/>
                <w:color w:val="000000"/>
                <w:lang w:val="de-DE"/>
              </w:rPr>
              <w:t xml:space="preserve"> i </w:t>
            </w:r>
            <w:proofErr w:type="spellStart"/>
            <w:r>
              <w:rPr>
                <w:i/>
                <w:color w:val="000000"/>
                <w:lang w:val="de-DE"/>
              </w:rPr>
              <w:t>Ulica</w:t>
            </w:r>
            <w:proofErr w:type="spellEnd"/>
            <w:r>
              <w:rPr>
                <w:i/>
                <w:color w:val="000000"/>
                <w:lang w:val="de-DE"/>
              </w:rPr>
              <w:t xml:space="preserve"> Janka </w:t>
            </w:r>
            <w:proofErr w:type="spellStart"/>
            <w:r>
              <w:rPr>
                <w:i/>
                <w:color w:val="000000"/>
                <w:lang w:val="de-DE"/>
              </w:rPr>
              <w:t>Rupčića</w:t>
            </w:r>
            <w:proofErr w:type="spellEnd"/>
          </w:p>
        </w:tc>
      </w:tr>
    </w:tbl>
    <w:p w:rsidR="00F06664" w:rsidRDefault="00993560">
      <w:bookmarkStart w:id="0" w:name="_GoBack"/>
      <w:bookmarkEnd w:id="0"/>
    </w:p>
    <w:sectPr w:rsidR="00F06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60"/>
    <w:rsid w:val="00416872"/>
    <w:rsid w:val="00712D3F"/>
    <w:rsid w:val="0099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0EADB-DBEA-4FE4-A76D-74854081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Birač</dc:creator>
  <cp:keywords/>
  <dc:description/>
  <cp:lastModifiedBy>Željka Birač</cp:lastModifiedBy>
  <cp:revision>1</cp:revision>
  <dcterms:created xsi:type="dcterms:W3CDTF">2021-03-18T13:24:00Z</dcterms:created>
  <dcterms:modified xsi:type="dcterms:W3CDTF">2021-03-18T13:25:00Z</dcterms:modified>
</cp:coreProperties>
</file>